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26-281</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761—Chapter 607</w:t>
      </w:r>
    </w:p>
    <w:p>
      <w:pPr>
        <w:spacing w:before="0" w:after="0" w:line="480"/>
        <w:ind w:left="120"/>
        <w:jc w:val="center"/>
      </w:pPr>
      <w:r>
        <w:rPr>
          <w:rFonts w:ascii="Times New Roman" w:hAnsi="Times New Roman"/>
          <w:b w:val="false"/>
          <w:i w:val="false"/>
          <w:color w:val="000000"/>
          <w:sz w:val="24"/>
        </w:rPr>
        <w:t>“Commercial Driver Licensing”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321.175 as enacted by 2026 Iowa Acts, House File 2598; 321.187B as enacted by 2026 Iowa Acts, Senate File 2426; and 321.188</w:t>
      </w:r>
    </w:p>
    <w:p>
      <w:pPr>
        <w:spacing w:before="0" w:after="0" w:line="480"/>
        <w:ind w:left="120"/>
        <w:jc w:val="both"/>
      </w:pPr>
      <w:r>
        <w:rPr>
          <w:rFonts w:ascii="Times New Roman" w:hAnsi="Times New Roman"/>
          <w:b w:val="false"/>
          <w:i w:val="false"/>
          <w:color w:val="000000"/>
          <w:sz w:val="24"/>
        </w:rPr>
        <w:t>State or federal law(s) implemented by the rulemaking: Iowa Code section 321.175 as enacted by 2026 Iowa Acts, House File 2598; section 321.187B as enacted by 2026 Iowa Acts, Senate File 2426; and section 321.188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10 to 10:30 a.m.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845 664 188#</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Sara Siedsma</w:t>
            </w:r>
            <w:r>
              <w:br/>
            </w:r>
            <w:r>
              <w:rPr>
                <w:rFonts w:ascii="Times New Roman" w:hAnsi="Times New Roman"/>
                <w:b w:val="false"/>
                <w:i w:val="false"/>
                <w:color w:val="000000"/>
                <w:sz w:val="14"/>
              </w:rPr>
              <w:t>6310 SE Convenience Boulevard</w:t>
            </w:r>
            <w:r>
              <w:br/>
            </w:r>
            <w:r>
              <w:rPr>
                <w:rFonts w:ascii="Times New Roman" w:hAnsi="Times New Roman"/>
                <w:b w:val="false"/>
                <w:i w:val="false"/>
                <w:color w:val="000000"/>
                <w:sz w:val="14"/>
              </w:rPr>
              <w:t>Ankeny, Iowa 50021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align the chapter with 2026 Iowa Acts, Senate File 2426, section 2, and 2026 Iowa Acts, House File 2598, which require the Department to implement an English language proficiency test and human trafficking prevention training for commercial driver’s license applicants. The amendments also update the chapter to reflect how the Department’s new information technology (IT) system will identify restricted commercial driver’s licenses and make corresponding technical and citation changes throughout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the proposed rulemaking beyond those of the underlying statutes. The rule changes reflect how the Department will implement the new statutory requirements and deliver services through its new IT system.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seeking to obtain a commercial driver’s license will benefit from having the rules conform to the statutory requirements and knowing how services will be provided through the Department’s new IT system.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beyond those of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beyond those of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beyond those of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The rule changes conform with statutory changes and the capabilities of the Department’s new IT system.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amendments, which are required by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 from the proposed amendments beyond those of the underlying statutes.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761—607.9(321)</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761—607.9</w:t>
      </w:r>
      <w:r>
        <w:rPr>
          <w:rFonts w:ascii="Times New Roman" w:hAnsi="Times New Roman"/>
          <w:b/>
          <w:i w:val="false"/>
          <w:color w:val="000000"/>
          <w:sz w:val="24"/>
        </w:rPr>
        <w:t xml:space="preserve">(321) </w:t>
      </w:r>
      <w:r>
        <w:rPr>
          <w:rFonts w:ascii="Times New Roman" w:hAnsi="Times New Roman"/>
          <w:b/>
          <w:i w:val="false"/>
          <w:color w:val="000000"/>
          <w:sz w:val="24"/>
        </w:rPr>
        <w:t xml:space="preserve">Restrictions. </w:t>
      </w:r>
      <w:r>
        <w:rPr>
          <w:rFonts w:ascii="Times New Roman" w:hAnsi="Times New Roman"/>
          <w:b w:val="false"/>
          <w:i w:val="false"/>
          <w:color w:val="000000"/>
          <w:sz w:val="24"/>
        </w:rPr>
        <w:t xml:space="preserve">The restrictions that may limit commercial motor vehicle operation with a commercial driver’s license are listed in </w:t>
      </w:r>
      <w:hyperlink r:id="rId6">
        <w:r>
          <w:rPr>
            <w:rStyle w:val="Hyperlink"/>
            <w:rFonts w:ascii="Times New Roman" w:hAnsi="Times New Roman"/>
            <w:b w:val="false"/>
            <w:i w:val="false"/>
            <w:strike/>
            <w:color w:val="000000"/>
            <w:sz w:val="24"/>
          </w:rPr>
          <w:t>761—subrule 605.8(3)</w:t>
        </w:r>
      </w:hyperlink>
      <w:r>
        <w:rPr>
          <w:rFonts w:ascii="Times New Roman" w:hAnsi="Times New Roman"/>
          <w:b w:val="false"/>
          <w:i w:val="false"/>
          <w:color w:val="000000"/>
          <w:sz w:val="24"/>
          <w:u w:val="single"/>
        </w:rPr>
        <w:t> </w:t>
      </w:r>
      <w:hyperlink r:id="rId7">
        <w:r>
          <w:rPr>
            <w:rStyle w:val="Hyperlink"/>
            <w:rFonts w:ascii="Times New Roman" w:hAnsi="Times New Roman"/>
            <w:b w:val="false"/>
            <w:i w:val="false"/>
            <w:color w:val="000000"/>
            <w:sz w:val="24"/>
            <w:u w:val="single"/>
          </w:rPr>
          <w:t>761—subrule 605.7</w:t>
        </w:r>
      </w:hyperlink>
      <w:r>
        <w:rPr>
          <w:rFonts w:ascii="Times New Roman" w:hAnsi="Times New Roman"/>
          <w:b w:val="false"/>
          <w:i w:val="false"/>
          <w:color w:val="000000"/>
          <w:sz w:val="24"/>
          <w:u w:val="single"/>
        </w:rPr>
        <w:t>(3)</w:t>
      </w:r>
      <w:r>
        <w:rPr>
          <w:rFonts w:ascii="Times New Roman" w:hAnsi="Times New Roman"/>
          <w:b w:val="false"/>
          <w:i w:val="false"/>
          <w:color w:val="000000"/>
          <w:sz w:val="24"/>
        </w:rPr>
        <w:t xml:space="preserve"> and are explained below:</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607.17(1)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607.17(1)</w:t>
      </w:r>
      <w:r>
        <w:rPr>
          <w:rFonts w:ascii="Times New Roman" w:hAnsi="Times New Roman"/>
          <w:b w:val="false"/>
          <w:i w:val="false"/>
          <w:color w:val="000000"/>
          <w:sz w:val="24"/>
        </w:rPr>
        <w:t> </w:t>
      </w:r>
      <w:r>
        <w:rPr>
          <w:rFonts w:ascii="Times New Roman" w:hAnsi="Times New Roman"/>
          <w:b w:val="false"/>
          <w:i/>
          <w:color w:val="000000"/>
          <w:sz w:val="24"/>
        </w:rPr>
        <w:t xml:space="preserve">Licensee requirements. </w:t>
      </w:r>
      <w:r>
        <w:rPr>
          <w:rFonts w:ascii="Times New Roman" w:hAnsi="Times New Roman"/>
          <w:b w:val="false"/>
          <w:i w:val="false"/>
          <w:color w:val="000000"/>
          <w:sz w:val="24"/>
        </w:rPr>
        <w:t xml:space="preserve">Unless eligible for electronic renewal pursuant to </w:t>
      </w:r>
      <w:r>
        <w:rPr>
          <w:rFonts w:ascii="Times New Roman" w:hAnsi="Times New Roman"/>
          <w:b w:val="false"/>
          <w:i w:val="false"/>
          <w:strike/>
          <w:color w:val="000000"/>
          <w:sz w:val="24"/>
        </w:rPr>
        <w:t xml:space="preserve">subrule </w:t>
      </w:r>
      <w:hyperlink r:id="rId8">
        <w:r>
          <w:rPr>
            <w:rStyle w:val="Hyperlink"/>
            <w:rFonts w:ascii="Times New Roman" w:hAnsi="Times New Roman"/>
            <w:b w:val="false"/>
            <w:i w:val="false"/>
            <w:strike/>
            <w:color w:val="000000"/>
            <w:sz w:val="24"/>
          </w:rPr>
          <w:t>761—605.25</w:t>
        </w:r>
      </w:hyperlink>
      <w:r>
        <w:rPr>
          <w:rFonts w:ascii="Times New Roman" w:hAnsi="Times New Roman"/>
          <w:b w:val="false"/>
          <w:i w:val="false"/>
          <w:strike/>
          <w:color w:val="000000"/>
          <w:sz w:val="24"/>
        </w:rPr>
        <w:t>(8)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subrule </w:t>
      </w:r>
      <w:hyperlink r:id="rId9">
        <w:r>
          <w:rPr>
            <w:rStyle w:val="Hyperlink"/>
            <w:rFonts w:ascii="Times New Roman" w:hAnsi="Times New Roman"/>
            <w:b w:val="false"/>
            <w:i w:val="false"/>
            <w:color w:val="000000"/>
            <w:sz w:val="24"/>
            <w:u w:val="single"/>
          </w:rPr>
          <w:t>761—605.15</w:t>
        </w:r>
      </w:hyperlink>
      <w:r>
        <w:rPr>
          <w:rFonts w:ascii="Times New Roman" w:hAnsi="Times New Roman"/>
          <w:b w:val="false"/>
          <w:i w:val="false"/>
          <w:color w:val="000000"/>
          <w:sz w:val="24"/>
          <w:u w:val="single"/>
        </w:rPr>
        <w:t>(7)</w:t>
      </w:r>
      <w:r>
        <w:rPr>
          <w:rFonts w:ascii="Times New Roman" w:hAnsi="Times New Roman"/>
          <w:b w:val="false"/>
          <w:i w:val="false"/>
          <w:color w:val="000000"/>
          <w:sz w:val="24"/>
        </w:rPr>
        <w:t>, to renew a commercial driver’s license, the licensee shall apply at a driver’s license service center and complete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607.19(3)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607.19(3)</w:t>
      </w:r>
      <w:r>
        <w:rPr>
          <w:rFonts w:ascii="Times New Roman" w:hAnsi="Times New Roman"/>
          <w:b w:val="false"/>
          <w:i w:val="false"/>
          <w:color w:val="000000"/>
          <w:sz w:val="24"/>
        </w:rPr>
        <w:t> </w:t>
      </w:r>
      <w:r>
        <w:rPr>
          <w:rFonts w:ascii="Times New Roman" w:hAnsi="Times New Roman"/>
          <w:b w:val="false"/>
          <w:i/>
          <w:color w:val="000000"/>
          <w:sz w:val="24"/>
        </w:rPr>
        <w:t xml:space="preserve">Hearing and appeal process. </w:t>
      </w:r>
      <w:r>
        <w:rPr>
          <w:rFonts w:ascii="Times New Roman" w:hAnsi="Times New Roman"/>
          <w:b w:val="false"/>
          <w:i w:val="false"/>
          <w:color w:val="000000"/>
          <w:sz w:val="24"/>
        </w:rPr>
        <w:t xml:space="preserve">A person who has received a notice of disqualification may contest the disqualification in accordance with rule </w:t>
      </w:r>
      <w:hyperlink r:id="rId10">
        <w:r>
          <w:rPr>
            <w:rStyle w:val="Hyperlink"/>
            <w:rFonts w:ascii="Times New Roman" w:hAnsi="Times New Roman"/>
            <w:b w:val="false"/>
            <w:i w:val="false"/>
            <w:strike/>
            <w:color w:val="000000"/>
            <w:sz w:val="24"/>
          </w:rPr>
          <w:t>761—615.38</w:t>
        </w:r>
      </w:hyperlink>
      <w:r>
        <w:rPr>
          <w:rFonts w:ascii="Times New Roman" w:hAnsi="Times New Roman"/>
          <w:b w:val="false"/>
          <w:i w:val="false"/>
          <w:strike/>
          <w:color w:val="000000"/>
          <w:sz w:val="24"/>
        </w:rPr>
        <w:t>(17A,321)</w:t>
      </w:r>
      <w:r>
        <w:rPr>
          <w:rFonts w:ascii="Times New Roman" w:hAnsi="Times New Roman"/>
          <w:b w:val="false"/>
          <w:i w:val="false"/>
          <w:color w:val="000000"/>
          <w:sz w:val="24"/>
          <w:u w:val="single"/>
        </w:rPr>
        <w:t> </w:t>
      </w:r>
      <w:hyperlink r:id="rId11">
        <w:r>
          <w:rPr>
            <w:rStyle w:val="Hyperlink"/>
            <w:rFonts w:ascii="Times New Roman" w:hAnsi="Times New Roman"/>
            <w:b w:val="false"/>
            <w:i w:val="false"/>
            <w:color w:val="000000"/>
            <w:sz w:val="24"/>
            <w:u w:val="single"/>
          </w:rPr>
          <w:t>761—615.22</w:t>
        </w:r>
      </w:hyperlink>
      <w:r>
        <w:rPr>
          <w:rFonts w:ascii="Times New Roman" w:hAnsi="Times New Roman"/>
          <w:b w:val="false"/>
          <w:i w:val="false"/>
          <w:color w:val="000000"/>
          <w:sz w:val="24"/>
          <w:u w:val="single"/>
        </w:rPr>
        <w:t>(17A,321)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607.22(4)“c”(9)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A violation deemed serious under rule </w:t>
      </w:r>
      <w:hyperlink r:id="rId12">
        <w:r>
          <w:rPr>
            <w:rStyle w:val="Hyperlink"/>
            <w:rFonts w:ascii="Times New Roman" w:hAnsi="Times New Roman"/>
            <w:b w:val="false"/>
            <w:i w:val="false"/>
            <w:strike/>
            <w:color w:val="000000"/>
            <w:sz w:val="24"/>
          </w:rPr>
          <w:t>761—615.17</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3">
        <w:r>
          <w:rPr>
            <w:rStyle w:val="Hyperlink"/>
            <w:rFonts w:ascii="Times New Roman" w:hAnsi="Times New Roman"/>
            <w:b w:val="false"/>
            <w:i w:val="false"/>
            <w:color w:val="000000"/>
            <w:sz w:val="24"/>
            <w:u w:val="single"/>
          </w:rPr>
          <w:t>761—615.10</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607.22(5)“b”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restricted commercial driver’s license will be </w:t>
      </w:r>
      <w:r>
        <w:rPr>
          <w:rFonts w:ascii="Times New Roman" w:hAnsi="Times New Roman"/>
          <w:b w:val="false"/>
          <w:i w:val="false"/>
          <w:strike/>
          <w:color w:val="000000"/>
          <w:sz w:val="24"/>
        </w:rPr>
        <w:t>coded with restriction “W” on the face of the driver’s license, with the restriction explained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identified as such</w:t>
      </w:r>
      <w:r>
        <w:rPr>
          <w:rFonts w:ascii="Times New Roman" w:hAnsi="Times New Roman"/>
          <w:b w:val="false"/>
          <w:i w:val="false"/>
          <w:color w:val="000000"/>
          <w:sz w:val="24"/>
        </w:rPr>
        <w:t xml:space="preserve"> in text on the </w:t>
      </w:r>
      <w:r>
        <w:rPr>
          <w:rFonts w:ascii="Times New Roman" w:hAnsi="Times New Roman"/>
          <w:b w:val="false"/>
          <w:i w:val="false"/>
          <w:strike/>
          <w:color w:val="000000"/>
          <w:sz w:val="24"/>
        </w:rPr>
        <w:t>back of the driver’s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front of the</w:t>
      </w:r>
      <w:r>
        <w:rPr>
          <w:rFonts w:ascii="Times New Roman" w:hAnsi="Times New Roman"/>
          <w:b w:val="false"/>
          <w:i w:val="false"/>
          <w:color w:val="000000"/>
          <w:sz w:val="24"/>
        </w:rPr>
        <w:t xml:space="preserve"> license</w:t>
      </w:r>
      <w:r>
        <w:rPr>
          <w:rFonts w:ascii="Times New Roman" w:hAnsi="Times New Roman"/>
          <w:b w:val="false"/>
          <w:i w:val="false"/>
          <w:strik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may be coded with restriction “W.”</w:t>
      </w:r>
      <w:r>
        <w:rPr>
          <w:rFonts w:ascii="Times New Roman" w:hAnsi="Times New Roman"/>
          <w:b w:val="false"/>
          <w:i w:val="false"/>
          <w:color w:val="000000"/>
          <w:sz w:val="24"/>
        </w:rPr>
        <w:t xml:space="preserve"> In addition, the license will be issued with </w:t>
      </w:r>
      <w:r>
        <w:rPr>
          <w:rFonts w:ascii="Times New Roman" w:hAnsi="Times New Roman"/>
          <w:b w:val="false"/>
          <w:i w:val="false"/>
          <w:strike/>
          <w:color w:val="000000"/>
          <w:sz w:val="24"/>
        </w:rPr>
        <w:t>a restriction stating</w:t>
      </w:r>
      <w:r>
        <w:rPr>
          <w:rFonts w:ascii="Times New Roman" w:hAnsi="Times New Roman"/>
          <w:b w:val="false"/>
          <w:i w:val="false"/>
          <w:color w:val="000000"/>
          <w:sz w:val="24"/>
        </w:rPr>
        <w:t xml:space="preserve"> the license’s period of validity.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761—607.26(321)</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761—607.26</w:t>
      </w:r>
      <w:r>
        <w:rPr>
          <w:rFonts w:ascii="Times New Roman" w:hAnsi="Times New Roman"/>
          <w:b/>
          <w:i w:val="false"/>
          <w:color w:val="000000"/>
          <w:sz w:val="24"/>
        </w:rPr>
        <w:t xml:space="preserve">(321) </w:t>
      </w:r>
      <w:r>
        <w:rPr>
          <w:rFonts w:ascii="Times New Roman" w:hAnsi="Times New Roman"/>
          <w:b/>
          <w:i w:val="false"/>
          <w:color w:val="000000"/>
          <w:sz w:val="24"/>
        </w:rPr>
        <w:t xml:space="preserve">English language proficiency examination.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607.26(1)</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issuance or renewal of a commercial driver’s license or a commercial learner’s permit, an applicant must successfully pass the English language proficiency examination administered by the department pursuant to Iowa Code section 321.187B as enacted by </w:t>
      </w:r>
      <w:r>
        <w:rPr>
          <w:rFonts w:ascii="Times New Roman" w:hAnsi="Times New Roman"/>
          <w:b w:val="false"/>
          <w:i w:val="false"/>
          <w:color w:val="000000"/>
          <w:sz w:val="24"/>
        </w:rPr>
        <w:t>2026 Iowa Acts, Senate File 2426</w:t>
      </w:r>
      <w:r>
        <w:rPr>
          <w:rFonts w:ascii="Times New Roman" w:hAnsi="Times New Roman"/>
          <w:b w:val="false"/>
          <w:i w:val="false"/>
          <w:color w:val="000000"/>
          <w:sz w:val="24"/>
        </w:rPr>
        <w:t>, section 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607.26(2)</w:t>
      </w:r>
      <w:r>
        <w:rPr>
          <w:rFonts w:ascii="Times New Roman" w:hAnsi="Times New Roman"/>
          <w:b w:val="false"/>
          <w:i w:val="false"/>
          <w:color w:val="000000"/>
          <w:sz w:val="24"/>
        </w:rPr>
        <w:t> </w:t>
      </w:r>
      <w:r>
        <w:rPr>
          <w:rFonts w:ascii="Times New Roman" w:hAnsi="Times New Roman"/>
          <w:b w:val="false"/>
          <w:i w:val="false"/>
          <w:color w:val="000000"/>
          <w:sz w:val="24"/>
        </w:rPr>
        <w:t xml:space="preserve">Upon the applicant successfully passing the examination in subrule </w:t>
      </w:r>
      <w:hyperlink r:id="rId14">
        <w:r>
          <w:rPr>
            <w:rStyle w:val="Hyperlink"/>
            <w:rFonts w:ascii="Times New Roman" w:hAnsi="Times New Roman"/>
            <w:b w:val="false"/>
            <w:i w:val="false"/>
            <w:color w:val="000000"/>
            <w:sz w:val="24"/>
          </w:rPr>
          <w:t>607.26(1)</w:t>
        </w:r>
      </w:hyperlink>
      <w:r>
        <w:rPr>
          <w:rFonts w:ascii="Times New Roman" w:hAnsi="Times New Roman"/>
          <w:b w:val="false"/>
          <w:i w:val="false"/>
          <w:color w:val="000000"/>
          <w:sz w:val="24"/>
        </w:rPr>
        <w:t xml:space="preserve">, the department will notate the applicant’s passing score in the applicant’s file, and the applicant will not be required by the department to repeat the test at a subsequent issuance or renewal. </w:t>
      </w:r>
    </w:p>
    <w:p>
      <w:pPr>
        <w:spacing w:before="0" w:after="0" w:line="480"/>
        <w:ind w:left="120"/>
        <w:jc w:val="both"/>
      </w:pPr>
      <w:r>
        <w:rPr>
          <w:rFonts w:ascii="Times New Roman" w:hAnsi="Times New Roman"/>
          <w:b w:val="false"/>
          <w:i w:val="false"/>
          <w:color w:val="000000"/>
          <w:sz w:val="24"/>
        </w:rPr>
        <w:t xml:space="preserve">This rule is intended to implement Iowa Code section 321.187B as enacted by </w:t>
      </w:r>
      <w:r>
        <w:rPr>
          <w:rFonts w:ascii="Times New Roman" w:hAnsi="Times New Roman"/>
          <w:b w:val="false"/>
          <w:i w:val="false"/>
          <w:color w:val="000000"/>
          <w:sz w:val="24"/>
        </w:rPr>
        <w:t>2026 Iowa Acts, Senate File 2426</w:t>
      </w:r>
      <w:r>
        <w:rPr>
          <w:rFonts w:ascii="Times New Roman" w:hAnsi="Times New Roman"/>
          <w:b w:val="false"/>
          <w:i w:val="false"/>
          <w:color w:val="000000"/>
          <w:sz w:val="24"/>
        </w:rPr>
        <w:t>, section 2.</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761—607.27(321)</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761—607.27</w:t>
      </w:r>
      <w:r>
        <w:rPr>
          <w:rFonts w:ascii="Times New Roman" w:hAnsi="Times New Roman"/>
          <w:b/>
          <w:i w:val="false"/>
          <w:color w:val="000000"/>
          <w:sz w:val="24"/>
        </w:rPr>
        <w:t xml:space="preserve">(321) </w:t>
      </w:r>
      <w:r>
        <w:rPr>
          <w:rFonts w:ascii="Times New Roman" w:hAnsi="Times New Roman"/>
          <w:b/>
          <w:i w:val="false"/>
          <w:color w:val="000000"/>
          <w:sz w:val="24"/>
        </w:rPr>
        <w:t xml:space="preserve">Human trafficking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607.27(1)</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the initial issuance of a class A, B, or C commercial driver’s license, an applicant must certify to the department that the applicant has completed a course of instruction in human trafficking prevention pursuant to Iowa Code section </w:t>
      </w:r>
      <w:hyperlink r:id="rId15">
        <w:r>
          <w:rPr>
            <w:rStyle w:val="Hyperlink"/>
            <w:rFonts w:ascii="Times New Roman" w:hAnsi="Times New Roman"/>
            <w:b w:val="false"/>
            <w:i w:val="false"/>
            <w:color w:val="000000"/>
            <w:sz w:val="24"/>
          </w:rPr>
          <w:t>321.175</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2598</w:t>
      </w:r>
      <w:r>
        <w:rPr>
          <w:rFonts w:ascii="Times New Roman" w:hAnsi="Times New Roman"/>
          <w:b w:val="false"/>
          <w:i w:val="false"/>
          <w:color w:val="000000"/>
          <w:sz w:val="24"/>
        </w:rPr>
        <w:t>, section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607.27(2)</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this rule, “certify” means to provide the department with a certificate of completion or other satisfactory proof, as determined by the department, that the course required in subrule </w:t>
      </w:r>
      <w:hyperlink r:id="rId16">
        <w:r>
          <w:rPr>
            <w:rStyle w:val="Hyperlink"/>
            <w:rFonts w:ascii="Times New Roman" w:hAnsi="Times New Roman"/>
            <w:b w:val="false"/>
            <w:i w:val="false"/>
            <w:color w:val="000000"/>
            <w:sz w:val="24"/>
          </w:rPr>
          <w:t>607.27(1)</w:t>
        </w:r>
      </w:hyperlink>
      <w:r>
        <w:rPr>
          <w:rFonts w:ascii="Times New Roman" w:hAnsi="Times New Roman"/>
          <w:b w:val="false"/>
          <w:i w:val="false"/>
          <w:color w:val="000000"/>
          <w:sz w:val="24"/>
        </w:rPr>
        <w:t xml:space="preserve"> has been completed.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607.27(3)</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of certification that the course in subrule </w:t>
      </w:r>
      <w:hyperlink r:id="rId17">
        <w:r>
          <w:rPr>
            <w:rStyle w:val="Hyperlink"/>
            <w:rFonts w:ascii="Times New Roman" w:hAnsi="Times New Roman"/>
            <w:b w:val="false"/>
            <w:i w:val="false"/>
            <w:color w:val="000000"/>
            <w:sz w:val="24"/>
          </w:rPr>
          <w:t>607.27(1)</w:t>
        </w:r>
      </w:hyperlink>
      <w:r>
        <w:rPr>
          <w:rFonts w:ascii="Times New Roman" w:hAnsi="Times New Roman"/>
          <w:b w:val="false"/>
          <w:i w:val="false"/>
          <w:color w:val="000000"/>
          <w:sz w:val="24"/>
        </w:rPr>
        <w:t xml:space="preserve"> has been completed, the department will notate the applicant’s completion in the applicant’s file, and the applicant will not be required to repeat the training at a subsequent issuance or renewal.</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321.175</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2598</w:t>
      </w:r>
      <w:r>
        <w:rPr>
          <w:rFonts w:ascii="Times New Roman" w:hAnsi="Times New Roman"/>
          <w:b w:val="false"/>
          <w:i w:val="false"/>
          <w:color w:val="000000"/>
          <w:sz w:val="24"/>
        </w:rPr>
        <w:t xml:space="preserve">, section 1, and </w:t>
      </w:r>
      <w:hyperlink r:id="rId19">
        <w:r>
          <w:rPr>
            <w:rStyle w:val="Hyperlink"/>
            <w:rFonts w:ascii="Times New Roman" w:hAnsi="Times New Roman"/>
            <w:b w:val="false"/>
            <w:i w:val="false"/>
            <w:color w:val="000000"/>
            <w:sz w:val="24"/>
          </w:rPr>
          <w:t>321.188</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2026 Iowa Acts, House File 2598</w:t>
      </w:r>
      <w:r>
        <w:rPr>
          <w:rFonts w:ascii="Times New Roman" w:hAnsi="Times New Roman"/>
          <w:b w:val="false"/>
          <w:i w:val="false"/>
          <w:color w:val="000000"/>
          <w:sz w:val="24"/>
        </w:rPr>
        <w:t>, section 2.</w:t>
      </w:r>
    </w:p>
    <w:sectPr>
      <w:footerReference r:id="rId2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23351950204405?p=2vGNXoMl9iogeAza7L"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ac/rule/761.605.8.pdf" Type="http://schemas.openxmlformats.org/officeDocument/2006/relationships/hyperlink" Id="rId6"/>
    <Relationship TargetMode="External" Target="https://www.legis.iowa.gov/docs/iac/rule/761.605.7.pdf" Type="http://schemas.openxmlformats.org/officeDocument/2006/relationships/hyperlink" Id="rId7"/>
    <Relationship TargetMode="External" Target="https://www.legis.iowa.gov/docs/iac/rule/761.605.25.pdf" Type="http://schemas.openxmlformats.org/officeDocument/2006/relationships/hyperlink" Id="rId8"/>
    <Relationship TargetMode="External" Target="https://www.legis.iowa.gov/docs/iac/rule/761.605.15.pdf" Type="http://schemas.openxmlformats.org/officeDocument/2006/relationships/hyperlink" Id="rId9"/>
    <Relationship TargetMode="External" Target="https://www.legis.iowa.gov/docs/iac/rule/761.615.38.pdf" Type="http://schemas.openxmlformats.org/officeDocument/2006/relationships/hyperlink" Id="rId10"/>
    <Relationship TargetMode="External" Target="https://www.legis.iowa.gov/docs/iac/rule/761.615.22.pdf" Type="http://schemas.openxmlformats.org/officeDocument/2006/relationships/hyperlink" Id="rId11"/>
    <Relationship TargetMode="External" Target="https://www.legis.iowa.gov/docs/iac/rule/761.615.17.pdf" Type="http://schemas.openxmlformats.org/officeDocument/2006/relationships/hyperlink" Id="rId12"/>
    <Relationship TargetMode="External" Target="https://www.legis.iowa.gov/docs/iac/rule/761.615.10.pdf" Type="http://schemas.openxmlformats.org/officeDocument/2006/relationships/hyperlink" Id="rId13"/>
    <Relationship TargetMode="External" Target="https://www.legis.iowa.gov/docs/iac/rule/761.607.26.pdf" Type="http://schemas.openxmlformats.org/officeDocument/2006/relationships/hyperlink" Id="rId14"/>
    <Relationship TargetMode="External" Target="https://www.legis.iowa.gov/docs/ico/chapter/321.175.pdf" Type="http://schemas.openxmlformats.org/officeDocument/2006/relationships/hyperlink" Id="rId15"/>
    <Relationship TargetMode="External" Target="https://www.legis.iowa.gov/docs/iac/rule/761.607.27.pdf" Type="http://schemas.openxmlformats.org/officeDocument/2006/relationships/hyperlink" Id="rId16"/>
    <Relationship TargetMode="External" Target="https://www.legis.iowa.gov/docs/iac/rule/761.607.27.pdf" Type="http://schemas.openxmlformats.org/officeDocument/2006/relationships/hyperlink" Id="rId17"/>
    <Relationship TargetMode="External" Target="https://www.legis.iowa.gov/docs/ico/chapter/321.175.pdf" Type="http://schemas.openxmlformats.org/officeDocument/2006/relationships/hyperlink" Id="rId18"/>
    <Relationship TargetMode="External" Target="https://www.legis.iowa.gov/docs/ico/chapter/321.188.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